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AC73" w14:textId="77777777" w:rsidR="00F630BD" w:rsidRPr="00843490" w:rsidRDefault="00F630BD" w:rsidP="00F630BD">
      <w:pPr>
        <w:pStyle w:val="Ttulo1"/>
        <w:rPr>
          <w:bCs/>
          <w:color w:val="auto"/>
          <w:sz w:val="16"/>
          <w:szCs w:val="16"/>
        </w:rPr>
      </w:pPr>
      <w:r w:rsidRPr="00843490">
        <w:rPr>
          <w:bCs/>
          <w:color w:val="auto"/>
          <w:sz w:val="16"/>
          <w:szCs w:val="16"/>
        </w:rPr>
        <w:t>COMPANHIA HIDROMINERAL DE PIRATUBA - SC</w:t>
      </w:r>
    </w:p>
    <w:p w14:paraId="6B53A193" w14:textId="77777777" w:rsidR="00F630BD" w:rsidRPr="00843490" w:rsidRDefault="00F630BD" w:rsidP="00F630BD">
      <w:pPr>
        <w:pStyle w:val="Subttulo"/>
        <w:rPr>
          <w:b w:val="0"/>
          <w:bCs/>
          <w:color w:val="auto"/>
          <w:sz w:val="16"/>
          <w:szCs w:val="16"/>
        </w:rPr>
      </w:pPr>
      <w:r w:rsidRPr="00843490">
        <w:rPr>
          <w:b w:val="0"/>
          <w:bCs/>
          <w:color w:val="auto"/>
          <w:sz w:val="16"/>
          <w:szCs w:val="16"/>
        </w:rPr>
        <w:t>EDITAL DE CONCORRÊNCIA PÚBLICA Nº. 04/2025</w:t>
      </w:r>
    </w:p>
    <w:p w14:paraId="026A7087" w14:textId="77777777" w:rsidR="00F630BD" w:rsidRPr="00843490" w:rsidRDefault="00F630BD" w:rsidP="00F630BD">
      <w:pPr>
        <w:pStyle w:val="Subttulo"/>
        <w:rPr>
          <w:b w:val="0"/>
          <w:bCs/>
          <w:color w:val="auto"/>
          <w:sz w:val="16"/>
          <w:szCs w:val="16"/>
        </w:rPr>
      </w:pPr>
    </w:p>
    <w:p w14:paraId="486BA2B7" w14:textId="77777777" w:rsidR="00F630BD" w:rsidRPr="00843490" w:rsidRDefault="00F630BD" w:rsidP="00F630BD">
      <w:pPr>
        <w:pStyle w:val="Subttulo"/>
        <w:rPr>
          <w:b w:val="0"/>
          <w:bCs/>
          <w:color w:val="auto"/>
          <w:sz w:val="16"/>
          <w:szCs w:val="16"/>
        </w:rPr>
      </w:pPr>
      <w:r w:rsidRPr="00843490">
        <w:rPr>
          <w:b w:val="0"/>
          <w:bCs/>
          <w:color w:val="auto"/>
          <w:sz w:val="16"/>
          <w:szCs w:val="16"/>
        </w:rPr>
        <w:t>AVISO DE PUBLICAÇÃO DE RECURSO E PRAZOS DE CONTRARRAZÕES</w:t>
      </w:r>
    </w:p>
    <w:p w14:paraId="644E1EBF" w14:textId="77777777" w:rsidR="00F630BD" w:rsidRPr="00843490" w:rsidRDefault="00F630BD" w:rsidP="00F630BD">
      <w:pPr>
        <w:pStyle w:val="Subttulo"/>
        <w:rPr>
          <w:b w:val="0"/>
          <w:bCs/>
          <w:color w:val="auto"/>
          <w:sz w:val="16"/>
          <w:szCs w:val="16"/>
        </w:rPr>
      </w:pPr>
    </w:p>
    <w:p w14:paraId="23FE752F" w14:textId="77777777" w:rsidR="00F630BD" w:rsidRPr="00843490" w:rsidRDefault="00F630BD" w:rsidP="00F630BD">
      <w:pPr>
        <w:pStyle w:val="Corpodetexto"/>
        <w:jc w:val="both"/>
        <w:rPr>
          <w:b/>
          <w:color w:val="auto"/>
          <w:sz w:val="16"/>
          <w:szCs w:val="16"/>
        </w:rPr>
      </w:pPr>
      <w:r w:rsidRPr="00843490">
        <w:rPr>
          <w:bCs/>
          <w:color w:val="auto"/>
          <w:sz w:val="16"/>
          <w:szCs w:val="16"/>
        </w:rPr>
        <w:t xml:space="preserve">O Pregoeiro no uso de suas atribuições convoca as empresas participantes do Processo Licitatório n.º 35/2025, na Modalidade Concorrência n.º 04/2025, caso tenham interesse em apresentar </w:t>
      </w:r>
      <w:r w:rsidRPr="00843490">
        <w:rPr>
          <w:sz w:val="16"/>
          <w:szCs w:val="16"/>
        </w:rPr>
        <w:t xml:space="preserve">contrarrazões em até 5 (cinco) dias úteis a partir desta publicação (Inciso XXV, </w:t>
      </w:r>
      <w:proofErr w:type="spellStart"/>
      <w:r w:rsidRPr="00843490">
        <w:rPr>
          <w:sz w:val="16"/>
          <w:szCs w:val="16"/>
        </w:rPr>
        <w:t>Art</w:t>
      </w:r>
      <w:proofErr w:type="spellEnd"/>
      <w:r w:rsidRPr="00843490">
        <w:rPr>
          <w:sz w:val="16"/>
          <w:szCs w:val="16"/>
        </w:rPr>
        <w:t xml:space="preserve"> 66 do RILC - Regulamento Interno de Licitações, Contratos e Convênios), referente ao pedido de Recurso apresentado pela empresa </w:t>
      </w:r>
      <w:r w:rsidRPr="00843490">
        <w:rPr>
          <w:b/>
          <w:bCs/>
          <w:sz w:val="16"/>
          <w:szCs w:val="16"/>
        </w:rPr>
        <w:t>Eletro Capinzal LTDA</w:t>
      </w:r>
      <w:r w:rsidRPr="00843490">
        <w:rPr>
          <w:sz w:val="16"/>
          <w:szCs w:val="16"/>
        </w:rPr>
        <w:t>, conforme arquivo em anexo.</w:t>
      </w:r>
    </w:p>
    <w:p w14:paraId="73E23FD9" w14:textId="77777777" w:rsidR="00F630BD" w:rsidRPr="00843490" w:rsidRDefault="00F630BD" w:rsidP="00F630BD">
      <w:pPr>
        <w:pStyle w:val="Corpodetexto"/>
        <w:jc w:val="both"/>
        <w:rPr>
          <w:b/>
          <w:color w:val="auto"/>
          <w:sz w:val="16"/>
          <w:szCs w:val="16"/>
        </w:rPr>
      </w:pPr>
    </w:p>
    <w:p w14:paraId="49B85560" w14:textId="77777777" w:rsidR="00F630BD" w:rsidRPr="00843490" w:rsidRDefault="00F630BD" w:rsidP="00F630BD">
      <w:pPr>
        <w:pStyle w:val="Corpodetexto"/>
        <w:jc w:val="both"/>
        <w:rPr>
          <w:b/>
          <w:color w:val="auto"/>
          <w:sz w:val="16"/>
          <w:szCs w:val="16"/>
        </w:rPr>
      </w:pPr>
    </w:p>
    <w:p w14:paraId="3FB0334B" w14:textId="77777777" w:rsidR="00F630BD" w:rsidRPr="00843490" w:rsidRDefault="00F630BD" w:rsidP="00F630BD">
      <w:pPr>
        <w:pStyle w:val="Corpodetexto"/>
        <w:jc w:val="center"/>
        <w:rPr>
          <w:color w:val="auto"/>
          <w:sz w:val="16"/>
          <w:szCs w:val="16"/>
        </w:rPr>
      </w:pPr>
      <w:r w:rsidRPr="00843490">
        <w:rPr>
          <w:color w:val="auto"/>
          <w:sz w:val="16"/>
          <w:szCs w:val="16"/>
        </w:rPr>
        <w:t>Piratuba, SC, 04 de dezembro de 2025.</w:t>
      </w:r>
    </w:p>
    <w:p w14:paraId="65ACA1E8" w14:textId="77777777" w:rsidR="00F630BD" w:rsidRPr="00843490" w:rsidRDefault="00F630BD" w:rsidP="00F630BD">
      <w:pPr>
        <w:pStyle w:val="Corpodetexto"/>
        <w:jc w:val="center"/>
        <w:rPr>
          <w:color w:val="auto"/>
          <w:sz w:val="16"/>
          <w:szCs w:val="16"/>
        </w:rPr>
      </w:pPr>
      <w:r w:rsidRPr="00843490">
        <w:rPr>
          <w:color w:val="auto"/>
          <w:sz w:val="16"/>
          <w:szCs w:val="16"/>
        </w:rPr>
        <w:t>WILSON UBIALLI</w:t>
      </w:r>
    </w:p>
    <w:p w14:paraId="2ACC1D12" w14:textId="77777777" w:rsidR="00F630BD" w:rsidRPr="00843490" w:rsidRDefault="00F630BD" w:rsidP="00F630BD">
      <w:pPr>
        <w:pStyle w:val="Corpodetexto"/>
        <w:jc w:val="center"/>
        <w:rPr>
          <w:color w:val="auto"/>
          <w:sz w:val="16"/>
          <w:szCs w:val="16"/>
        </w:rPr>
      </w:pPr>
      <w:r w:rsidRPr="00843490">
        <w:rPr>
          <w:color w:val="auto"/>
          <w:sz w:val="16"/>
          <w:szCs w:val="16"/>
        </w:rPr>
        <w:t>Presidente da CPL</w:t>
      </w:r>
    </w:p>
    <w:p w14:paraId="6DCFF0B8" w14:textId="77777777" w:rsidR="000852D8" w:rsidRDefault="000852D8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5D52A9CB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4748C0C4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4D17E7E2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2927AA49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71BC7C8C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6702F261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77196640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24749E7C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28F0D0FE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398E60DD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2626C7CB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38CB717E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6FCDB1D5" w14:textId="77777777" w:rsidR="00BF09A3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p w14:paraId="412C2806" w14:textId="77777777" w:rsidR="00BF09A3" w:rsidRPr="00A53169" w:rsidRDefault="00BF09A3" w:rsidP="00A53169">
      <w:pPr>
        <w:spacing w:line="360" w:lineRule="auto"/>
        <w:jc w:val="both"/>
        <w:rPr>
          <w:rFonts w:ascii="Leelawadee UI" w:hAnsi="Leelawadee UI" w:cs="Leelawadee UI"/>
          <w:sz w:val="24"/>
          <w:szCs w:val="24"/>
        </w:rPr>
      </w:pPr>
    </w:p>
    <w:sectPr w:rsidR="00BF09A3" w:rsidRPr="00A53169" w:rsidSect="00BF09A3">
      <w:headerReference w:type="default" r:id="rId6"/>
      <w:footerReference w:type="default" r:id="rId7"/>
      <w:pgSz w:w="11906" w:h="16838"/>
      <w:pgMar w:top="2836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6863" w14:textId="77777777" w:rsidR="000D463D" w:rsidRDefault="000D463D" w:rsidP="00BF09A3">
      <w:pPr>
        <w:spacing w:after="0" w:line="240" w:lineRule="auto"/>
      </w:pPr>
      <w:r>
        <w:separator/>
      </w:r>
    </w:p>
  </w:endnote>
  <w:endnote w:type="continuationSeparator" w:id="0">
    <w:p w14:paraId="78E4BAE1" w14:textId="77777777" w:rsidR="000D463D" w:rsidRDefault="000D463D" w:rsidP="00BF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DEA7" w14:textId="77777777" w:rsidR="00BF09A3" w:rsidRDefault="00BF09A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BDA917A" wp14:editId="2B0BA7AC">
          <wp:simplePos x="0" y="0"/>
          <wp:positionH relativeFrom="column">
            <wp:posOffset>-1070611</wp:posOffset>
          </wp:positionH>
          <wp:positionV relativeFrom="paragraph">
            <wp:posOffset>-4204335</wp:posOffset>
          </wp:positionV>
          <wp:extent cx="7544653" cy="4800235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90" cy="4809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BD26" w14:textId="77777777" w:rsidR="000D463D" w:rsidRDefault="000D463D" w:rsidP="00BF09A3">
      <w:pPr>
        <w:spacing w:after="0" w:line="240" w:lineRule="auto"/>
      </w:pPr>
      <w:r>
        <w:separator/>
      </w:r>
    </w:p>
  </w:footnote>
  <w:footnote w:type="continuationSeparator" w:id="0">
    <w:p w14:paraId="32E1F12B" w14:textId="77777777" w:rsidR="000D463D" w:rsidRDefault="000D463D" w:rsidP="00BF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B3F7" w14:textId="77777777" w:rsidR="00BF09A3" w:rsidRDefault="00BF09A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21094F9" wp14:editId="31300FCA">
          <wp:simplePos x="0" y="0"/>
          <wp:positionH relativeFrom="column">
            <wp:posOffset>-1071860</wp:posOffset>
          </wp:positionH>
          <wp:positionV relativeFrom="paragraph">
            <wp:posOffset>-449580</wp:posOffset>
          </wp:positionV>
          <wp:extent cx="7559316" cy="1643184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Ofício Balneá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48" cy="1644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D"/>
    <w:rsid w:val="000852D8"/>
    <w:rsid w:val="000D463D"/>
    <w:rsid w:val="00A36ADB"/>
    <w:rsid w:val="00A53169"/>
    <w:rsid w:val="00BF09A3"/>
    <w:rsid w:val="00F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7CB0"/>
  <w15:chartTrackingRefBased/>
  <w15:docId w15:val="{D09ED327-CAB8-460B-9AAD-80EF369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9A3"/>
  </w:style>
  <w:style w:type="paragraph" w:styleId="Rodap">
    <w:name w:val="footer"/>
    <w:basedOn w:val="Normal"/>
    <w:link w:val="RodapChar"/>
    <w:uiPriority w:val="99"/>
    <w:unhideWhenUsed/>
    <w:rsid w:val="00BF0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9A3"/>
  </w:style>
  <w:style w:type="paragraph" w:styleId="Corpodetexto">
    <w:name w:val="Body Text"/>
    <w:basedOn w:val="Normal"/>
    <w:link w:val="CorpodetextoChar"/>
    <w:qFormat/>
    <w:rsid w:val="00F630BD"/>
    <w:pPr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630BD"/>
    <w:rPr>
      <w:rFonts w:ascii="Arial" w:eastAsia="Times New Roman" w:hAnsi="Arial" w:cs="Arial"/>
      <w:color w:val="00000A"/>
      <w:sz w:val="24"/>
      <w:szCs w:val="20"/>
      <w:lang w:eastAsia="zh-CN"/>
    </w:rPr>
  </w:style>
  <w:style w:type="paragraph" w:customStyle="1" w:styleId="Ttulo1">
    <w:name w:val="Título1"/>
    <w:basedOn w:val="Normal"/>
    <w:qFormat/>
    <w:rsid w:val="00F630BD"/>
    <w:pPr>
      <w:suppressAutoHyphens/>
      <w:spacing w:after="0" w:line="240" w:lineRule="auto"/>
      <w:jc w:val="center"/>
    </w:pPr>
    <w:rPr>
      <w:rFonts w:ascii="Arial" w:eastAsia="Times New Roman" w:hAnsi="Arial" w:cs="Arial"/>
      <w:color w:val="00000A"/>
      <w:sz w:val="24"/>
      <w:szCs w:val="20"/>
      <w:lang w:eastAsia="zh-CN"/>
    </w:rPr>
  </w:style>
  <w:style w:type="paragraph" w:styleId="Subttulo">
    <w:name w:val="Subtitle"/>
    <w:basedOn w:val="Normal"/>
    <w:link w:val="SubttuloChar"/>
    <w:qFormat/>
    <w:rsid w:val="00F630BD"/>
    <w:pPr>
      <w:suppressAutoHyphens/>
      <w:spacing w:after="0" w:line="240" w:lineRule="auto"/>
      <w:jc w:val="center"/>
    </w:pPr>
    <w:rPr>
      <w:rFonts w:ascii="Arial" w:eastAsia="Times New Roman" w:hAnsi="Arial" w:cs="Arial"/>
      <w:b/>
      <w:color w:val="00000A"/>
      <w:sz w:val="24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F630BD"/>
    <w:rPr>
      <w:rFonts w:ascii="Arial" w:eastAsia="Times New Roman" w:hAnsi="Arial" w:cs="Arial"/>
      <w:b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\Desktop\Modelo%20Timbrado%20Companhia%20Hidromineral%20de%20Piratub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Timbrado Companhia Hidromineral de Piratuba.dotx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2025-12-04T18:10:00Z</dcterms:created>
  <dcterms:modified xsi:type="dcterms:W3CDTF">2025-12-04T18:11:00Z</dcterms:modified>
</cp:coreProperties>
</file>